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E30" w:rsidRPr="009E08CB" w:rsidRDefault="00096E30">
      <w:pPr>
        <w:pStyle w:val="ConsPlusTitle"/>
        <w:jc w:val="center"/>
      </w:pPr>
      <w:r w:rsidRPr="009E08CB">
        <w:t>ПРЕДСТАВИТЕЛЬНОЕ СОБРАНИЕ</w:t>
      </w:r>
    </w:p>
    <w:p w:rsidR="00096E30" w:rsidRPr="009E08CB" w:rsidRDefault="00096E30">
      <w:pPr>
        <w:pStyle w:val="ConsPlusTitle"/>
        <w:jc w:val="center"/>
      </w:pPr>
      <w:r w:rsidRPr="009E08CB">
        <w:t>БЕЛОЗЕРСКОГО МУНИЦИПАЛЬНОГО РАЙОНА</w:t>
      </w:r>
    </w:p>
    <w:p w:rsidR="00096E30" w:rsidRPr="009E08CB" w:rsidRDefault="00096E30">
      <w:pPr>
        <w:pStyle w:val="ConsPlusTitle"/>
        <w:jc w:val="center"/>
      </w:pPr>
    </w:p>
    <w:p w:rsidR="00096E30" w:rsidRPr="009E08CB" w:rsidRDefault="00096E30">
      <w:pPr>
        <w:pStyle w:val="ConsPlusTitle"/>
        <w:jc w:val="center"/>
      </w:pPr>
      <w:r w:rsidRPr="009E08CB">
        <w:t>РЕШЕНИЕ</w:t>
      </w:r>
    </w:p>
    <w:p w:rsidR="00096E30" w:rsidRPr="009E08CB" w:rsidRDefault="00096E30">
      <w:pPr>
        <w:pStyle w:val="ConsPlusTitle"/>
        <w:jc w:val="center"/>
      </w:pPr>
      <w:r w:rsidRPr="009E08CB">
        <w:t>от 29 ноября 2016 г. N 99</w:t>
      </w:r>
    </w:p>
    <w:p w:rsidR="00096E30" w:rsidRPr="009E08CB" w:rsidRDefault="00096E30">
      <w:pPr>
        <w:pStyle w:val="ConsPlusTitle"/>
        <w:jc w:val="center"/>
      </w:pPr>
    </w:p>
    <w:p w:rsidR="00096E30" w:rsidRPr="009E08CB" w:rsidRDefault="00096E30">
      <w:pPr>
        <w:pStyle w:val="ConsPlusTitle"/>
        <w:jc w:val="center"/>
      </w:pPr>
      <w:r w:rsidRPr="009E08CB">
        <w:t>О ВНЕСЕНИИ ИЗМЕНЕНИЙ В РЕШЕНИЕ</w:t>
      </w:r>
    </w:p>
    <w:p w:rsidR="00096E30" w:rsidRPr="009E08CB" w:rsidRDefault="00096E30">
      <w:pPr>
        <w:pStyle w:val="ConsPlusTitle"/>
        <w:jc w:val="center"/>
      </w:pPr>
      <w:r w:rsidRPr="009E08CB">
        <w:t>ПРЕДСТАВИТЕЛЬНОГО СОБРАНИЯ РАЙОНА ОТ 26.11.2012 N 101</w:t>
      </w:r>
    </w:p>
    <w:p w:rsidR="00096E30" w:rsidRPr="009E08CB" w:rsidRDefault="00096E30">
      <w:pPr>
        <w:pStyle w:val="ConsPlusNormal"/>
        <w:jc w:val="both"/>
      </w:pPr>
    </w:p>
    <w:p w:rsidR="00096E30" w:rsidRPr="009E08CB" w:rsidRDefault="00096E30">
      <w:pPr>
        <w:pStyle w:val="ConsPlusNormal"/>
        <w:ind w:firstLine="540"/>
        <w:jc w:val="both"/>
      </w:pPr>
      <w:r w:rsidRPr="009E08CB">
        <w:t xml:space="preserve">В соответствии со </w:t>
      </w:r>
      <w:hyperlink r:id="rId5" w:history="1">
        <w:r w:rsidRPr="009E08CB">
          <w:t>статьей 346.26</w:t>
        </w:r>
      </w:hyperlink>
      <w:r w:rsidRPr="009E08CB">
        <w:t xml:space="preserve"> Налогового кодекса Российской Федерации (с учетом изменений), </w:t>
      </w:r>
      <w:hyperlink r:id="rId6" w:history="1">
        <w:r w:rsidRPr="009E08CB">
          <w:t>ст. 18</w:t>
        </w:r>
      </w:hyperlink>
      <w:r w:rsidRPr="009E08CB">
        <w:t xml:space="preserve"> Устава Белозерского муниципального района Представительное Собрание района решило:</w:t>
      </w:r>
    </w:p>
    <w:p w:rsidR="00096E30" w:rsidRPr="009E08CB" w:rsidRDefault="00096E30">
      <w:pPr>
        <w:pStyle w:val="ConsPlusNormal"/>
        <w:spacing w:before="220"/>
        <w:ind w:firstLine="540"/>
        <w:jc w:val="both"/>
      </w:pPr>
      <w:r w:rsidRPr="009E08CB">
        <w:t xml:space="preserve">1. Внести в </w:t>
      </w:r>
      <w:hyperlink r:id="rId7" w:history="1">
        <w:r w:rsidRPr="009E08CB">
          <w:t>решение</w:t>
        </w:r>
      </w:hyperlink>
      <w:r w:rsidRPr="009E08CB">
        <w:t xml:space="preserve"> Представительного Собрания района от 26.11.2012 N 101 "О введении на территории Белозерского муниципального района системы налогообложения в виде единого налога на вмененный доход для отдельных видов деятельности" (с последующими изменениями и дополнениями) следующие изменения:</w:t>
      </w:r>
    </w:p>
    <w:p w:rsidR="00096E30" w:rsidRPr="009E08CB" w:rsidRDefault="00096E30">
      <w:pPr>
        <w:pStyle w:val="ConsPlusNormal"/>
        <w:spacing w:before="220"/>
        <w:ind w:firstLine="540"/>
        <w:jc w:val="both"/>
      </w:pPr>
      <w:r w:rsidRPr="009E08CB">
        <w:t xml:space="preserve">1.1. В </w:t>
      </w:r>
      <w:hyperlink r:id="rId8" w:history="1">
        <w:r w:rsidRPr="009E08CB">
          <w:t>пункте 3</w:t>
        </w:r>
      </w:hyperlink>
      <w:r w:rsidRPr="009E08CB">
        <w:t xml:space="preserve"> слова "Ю.В. Мухина" заменить словами "С.В. </w:t>
      </w:r>
      <w:proofErr w:type="spellStart"/>
      <w:r w:rsidRPr="009E08CB">
        <w:t>Хансен</w:t>
      </w:r>
      <w:proofErr w:type="spellEnd"/>
      <w:r w:rsidRPr="009E08CB">
        <w:t>".</w:t>
      </w:r>
    </w:p>
    <w:p w:rsidR="00096E30" w:rsidRPr="009E08CB" w:rsidRDefault="00096E30">
      <w:pPr>
        <w:pStyle w:val="ConsPlusNormal"/>
        <w:spacing w:before="220"/>
        <w:ind w:firstLine="540"/>
        <w:jc w:val="both"/>
      </w:pPr>
      <w:r w:rsidRPr="009E08CB">
        <w:t xml:space="preserve">1.2. В </w:t>
      </w:r>
      <w:hyperlink r:id="rId9" w:history="1">
        <w:r w:rsidRPr="009E08CB">
          <w:t>приложении N 1</w:t>
        </w:r>
      </w:hyperlink>
      <w:r w:rsidRPr="009E08CB">
        <w:t>:</w:t>
      </w:r>
    </w:p>
    <w:p w:rsidR="00096E30" w:rsidRPr="009E08CB" w:rsidRDefault="00096E30">
      <w:pPr>
        <w:pStyle w:val="ConsPlusNormal"/>
        <w:spacing w:before="220"/>
        <w:ind w:firstLine="540"/>
        <w:jc w:val="both"/>
      </w:pPr>
      <w:r w:rsidRPr="009E08CB">
        <w:t xml:space="preserve">- пункт I "Значения коэффициентов, учитывающих факторы, оказывающие влияние на ведение предпринимательской деятельности" </w:t>
      </w:r>
      <w:hyperlink r:id="rId10" w:history="1">
        <w:r w:rsidRPr="009E08CB">
          <w:t>раздел 1</w:t>
        </w:r>
      </w:hyperlink>
      <w:r w:rsidRPr="009E08CB">
        <w:t xml:space="preserve"> "Оказание бытовых услуг, их групп, подгрупп, видов и (или) отдельных бытовых услуг, классифицируемых в соответствии с Общероссийским </w:t>
      </w:r>
      <w:hyperlink r:id="rId11" w:history="1">
        <w:r w:rsidRPr="009E08CB">
          <w:t>классификатором</w:t>
        </w:r>
      </w:hyperlink>
      <w:r w:rsidRPr="009E08CB">
        <w:t xml:space="preserve"> услуг населению" изложить в следующей редакции:</w:t>
      </w:r>
    </w:p>
    <w:p w:rsidR="00096E30" w:rsidRPr="009E08CB" w:rsidRDefault="00096E30">
      <w:pPr>
        <w:pStyle w:val="ConsPlusNormal"/>
        <w:jc w:val="both"/>
      </w:pPr>
    </w:p>
    <w:p w:rsidR="00096E30" w:rsidRPr="009E08CB" w:rsidRDefault="00096E30">
      <w:pPr>
        <w:pStyle w:val="ConsPlusNormal"/>
        <w:jc w:val="both"/>
      </w:pPr>
      <w:r w:rsidRPr="009E08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2694"/>
        <w:gridCol w:w="3402"/>
      </w:tblGrid>
      <w:tr w:rsidR="009E08CB" w:rsidRPr="009E08CB" w:rsidTr="009E08CB">
        <w:tc>
          <w:tcPr>
            <w:tcW w:w="2897" w:type="dxa"/>
          </w:tcPr>
          <w:p w:rsidR="00096E30" w:rsidRPr="009E08CB" w:rsidRDefault="00096E30">
            <w:pPr>
              <w:pStyle w:val="ConsPlusNormal"/>
              <w:jc w:val="center"/>
            </w:pPr>
            <w:r w:rsidRPr="009E08CB">
              <w:t>Вид предпринимательской деятельности</w:t>
            </w:r>
          </w:p>
        </w:tc>
        <w:tc>
          <w:tcPr>
            <w:tcW w:w="2694" w:type="dxa"/>
          </w:tcPr>
          <w:p w:rsidR="00096E30" w:rsidRPr="009E08CB" w:rsidRDefault="00096E30">
            <w:pPr>
              <w:pStyle w:val="ConsPlusNormal"/>
            </w:pPr>
            <w:r w:rsidRPr="009E08CB">
              <w:t>Особенности ведения предпринимательской деятельности</w:t>
            </w:r>
          </w:p>
        </w:tc>
        <w:tc>
          <w:tcPr>
            <w:tcW w:w="3402" w:type="dxa"/>
          </w:tcPr>
          <w:p w:rsidR="00096E30" w:rsidRPr="009E08CB" w:rsidRDefault="00096E30">
            <w:pPr>
              <w:pStyle w:val="ConsPlusNormal"/>
            </w:pPr>
            <w:r w:rsidRPr="009E08CB">
              <w:t>Значение коэффициента K2</w:t>
            </w:r>
          </w:p>
        </w:tc>
      </w:tr>
      <w:tr w:rsidR="009E08CB" w:rsidRPr="009E08CB" w:rsidTr="009E08CB">
        <w:tc>
          <w:tcPr>
            <w:tcW w:w="2897" w:type="dxa"/>
          </w:tcPr>
          <w:p w:rsidR="00096E30" w:rsidRPr="009E08CB" w:rsidRDefault="00096E30">
            <w:pPr>
              <w:pStyle w:val="ConsPlusNormal"/>
              <w:jc w:val="center"/>
            </w:pPr>
            <w:r w:rsidRPr="009E08CB">
              <w:t>1</w:t>
            </w:r>
          </w:p>
        </w:tc>
        <w:tc>
          <w:tcPr>
            <w:tcW w:w="2694" w:type="dxa"/>
          </w:tcPr>
          <w:p w:rsidR="00096E30" w:rsidRPr="009E08CB" w:rsidRDefault="00096E30">
            <w:pPr>
              <w:pStyle w:val="ConsPlusNormal"/>
              <w:jc w:val="center"/>
            </w:pPr>
            <w:r w:rsidRPr="009E08CB">
              <w:t>2</w:t>
            </w:r>
          </w:p>
        </w:tc>
        <w:tc>
          <w:tcPr>
            <w:tcW w:w="3402" w:type="dxa"/>
          </w:tcPr>
          <w:p w:rsidR="00096E30" w:rsidRPr="009E08CB" w:rsidRDefault="00096E30">
            <w:pPr>
              <w:pStyle w:val="ConsPlusNormal"/>
              <w:jc w:val="center"/>
            </w:pPr>
            <w:r w:rsidRPr="009E08CB">
              <w:t>3</w:t>
            </w:r>
          </w:p>
        </w:tc>
      </w:tr>
      <w:tr w:rsidR="009E08CB" w:rsidRPr="009E08CB" w:rsidTr="009E08CB">
        <w:tc>
          <w:tcPr>
            <w:tcW w:w="2897" w:type="dxa"/>
          </w:tcPr>
          <w:p w:rsidR="00096E30" w:rsidRPr="009E08CB" w:rsidRDefault="00096E30">
            <w:pPr>
              <w:pStyle w:val="ConsPlusNormal"/>
            </w:pPr>
            <w:r w:rsidRPr="009E08CB">
              <w:t>1. Оказание бытовых услуг</w:t>
            </w:r>
          </w:p>
        </w:tc>
        <w:tc>
          <w:tcPr>
            <w:tcW w:w="2694" w:type="dxa"/>
          </w:tcPr>
          <w:p w:rsidR="00096E30" w:rsidRPr="009E08CB" w:rsidRDefault="00096E30">
            <w:pPr>
              <w:pStyle w:val="ConsPlusNormal"/>
            </w:pPr>
          </w:p>
        </w:tc>
        <w:tc>
          <w:tcPr>
            <w:tcW w:w="3402" w:type="dxa"/>
          </w:tcPr>
          <w:p w:rsidR="00096E30" w:rsidRPr="009E08CB" w:rsidRDefault="00096E30">
            <w:pPr>
              <w:pStyle w:val="ConsPlusNormal"/>
              <w:jc w:val="center"/>
            </w:pPr>
            <w:r w:rsidRPr="009E08CB">
              <w:t>0.5</w:t>
            </w:r>
          </w:p>
        </w:tc>
      </w:tr>
    </w:tbl>
    <w:p w:rsidR="00096E30" w:rsidRPr="009E08CB" w:rsidRDefault="00096E30">
      <w:pPr>
        <w:pStyle w:val="ConsPlusNormal"/>
        <w:jc w:val="right"/>
      </w:pPr>
      <w:r w:rsidRPr="009E08CB">
        <w:t>";</w:t>
      </w:r>
    </w:p>
    <w:p w:rsidR="00096E30" w:rsidRPr="009E08CB" w:rsidRDefault="00096E30">
      <w:pPr>
        <w:pStyle w:val="ConsPlusNormal"/>
        <w:jc w:val="both"/>
      </w:pPr>
    </w:p>
    <w:p w:rsidR="00096E30" w:rsidRPr="009E08CB" w:rsidRDefault="00096E30">
      <w:pPr>
        <w:pStyle w:val="ConsPlusNormal"/>
        <w:ind w:firstLine="540"/>
        <w:jc w:val="both"/>
      </w:pPr>
      <w:r w:rsidRPr="009E08CB">
        <w:t xml:space="preserve">- </w:t>
      </w:r>
      <w:hyperlink r:id="rId12" w:history="1">
        <w:r w:rsidRPr="009E08CB">
          <w:t>пункт II</w:t>
        </w:r>
      </w:hyperlink>
      <w:r w:rsidRPr="009E08CB">
        <w:t xml:space="preserve"> "Значение коэффициентов, учитывающих уровень заработной платы, выплачиваемой наемным работникам" изложить в следующей редакции:</w:t>
      </w:r>
    </w:p>
    <w:p w:rsidR="00096E30" w:rsidRPr="009E08CB" w:rsidRDefault="00096E30">
      <w:pPr>
        <w:pStyle w:val="ConsPlusNormal"/>
        <w:jc w:val="both"/>
      </w:pPr>
    </w:p>
    <w:p w:rsidR="00096E30" w:rsidRPr="009E08CB" w:rsidRDefault="00096E30">
      <w:pPr>
        <w:pStyle w:val="ConsPlusNormal"/>
        <w:jc w:val="both"/>
      </w:pPr>
      <w:r w:rsidRPr="009E08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9E08CB" w:rsidRPr="009E08CB">
        <w:tc>
          <w:tcPr>
            <w:tcW w:w="6973" w:type="dxa"/>
          </w:tcPr>
          <w:p w:rsidR="00096E30" w:rsidRPr="009E08CB" w:rsidRDefault="00096E30">
            <w:pPr>
              <w:pStyle w:val="ConsPlusNormal"/>
            </w:pPr>
            <w:r w:rsidRPr="009E08CB">
              <w:t>Величина средней месячной заработной платы одного работника среднесписочной численности</w:t>
            </w:r>
          </w:p>
        </w:tc>
        <w:tc>
          <w:tcPr>
            <w:tcW w:w="2098" w:type="dxa"/>
          </w:tcPr>
          <w:p w:rsidR="00096E30" w:rsidRPr="009E08CB" w:rsidRDefault="00096E30">
            <w:pPr>
              <w:pStyle w:val="ConsPlusNormal"/>
            </w:pPr>
            <w:r w:rsidRPr="009E08CB">
              <w:t>Значение коэффициента K2</w:t>
            </w:r>
          </w:p>
        </w:tc>
      </w:tr>
      <w:tr w:rsidR="009E08CB" w:rsidRPr="009E08CB">
        <w:tc>
          <w:tcPr>
            <w:tcW w:w="6973" w:type="dxa"/>
          </w:tcPr>
          <w:p w:rsidR="00096E30" w:rsidRPr="009E08CB" w:rsidRDefault="00096E30">
            <w:pPr>
              <w:pStyle w:val="ConsPlusNormal"/>
            </w:pPr>
            <w:r w:rsidRPr="009E08CB">
              <w:t>Менее 7500 руб.</w:t>
            </w:r>
          </w:p>
        </w:tc>
        <w:tc>
          <w:tcPr>
            <w:tcW w:w="2098" w:type="dxa"/>
          </w:tcPr>
          <w:p w:rsidR="00096E30" w:rsidRPr="009E08CB" w:rsidRDefault="00096E30">
            <w:pPr>
              <w:pStyle w:val="ConsPlusNormal"/>
              <w:jc w:val="center"/>
            </w:pPr>
            <w:r w:rsidRPr="009E08CB">
              <w:t>2.5</w:t>
            </w:r>
          </w:p>
        </w:tc>
      </w:tr>
      <w:tr w:rsidR="009E08CB" w:rsidRPr="009E08CB">
        <w:tc>
          <w:tcPr>
            <w:tcW w:w="6973" w:type="dxa"/>
          </w:tcPr>
          <w:p w:rsidR="00096E30" w:rsidRPr="009E08CB" w:rsidRDefault="00096E30">
            <w:pPr>
              <w:pStyle w:val="ConsPlusNormal"/>
            </w:pPr>
            <w:r w:rsidRPr="009E08CB">
              <w:t>Более 7500 руб. до 9500 руб.</w:t>
            </w:r>
          </w:p>
        </w:tc>
        <w:tc>
          <w:tcPr>
            <w:tcW w:w="2098" w:type="dxa"/>
          </w:tcPr>
          <w:p w:rsidR="00096E30" w:rsidRPr="009E08CB" w:rsidRDefault="00096E30">
            <w:pPr>
              <w:pStyle w:val="ConsPlusNormal"/>
              <w:jc w:val="center"/>
            </w:pPr>
            <w:r w:rsidRPr="009E08CB">
              <w:t>1.5</w:t>
            </w:r>
          </w:p>
        </w:tc>
      </w:tr>
      <w:tr w:rsidR="009E08CB" w:rsidRPr="009E08CB">
        <w:tc>
          <w:tcPr>
            <w:tcW w:w="6973" w:type="dxa"/>
          </w:tcPr>
          <w:p w:rsidR="00096E30" w:rsidRPr="009E08CB" w:rsidRDefault="00096E30">
            <w:pPr>
              <w:pStyle w:val="ConsPlusNormal"/>
            </w:pPr>
            <w:r w:rsidRPr="009E08CB">
              <w:t>Более 9500 руб. до 13000 руб.</w:t>
            </w:r>
          </w:p>
        </w:tc>
        <w:tc>
          <w:tcPr>
            <w:tcW w:w="2098" w:type="dxa"/>
          </w:tcPr>
          <w:p w:rsidR="00096E30" w:rsidRPr="009E08CB" w:rsidRDefault="00096E30">
            <w:pPr>
              <w:pStyle w:val="ConsPlusNormal"/>
              <w:jc w:val="center"/>
            </w:pPr>
            <w:r w:rsidRPr="009E08CB">
              <w:t>1.3</w:t>
            </w:r>
          </w:p>
        </w:tc>
      </w:tr>
      <w:tr w:rsidR="009E08CB" w:rsidRPr="009E08CB">
        <w:tc>
          <w:tcPr>
            <w:tcW w:w="6973" w:type="dxa"/>
          </w:tcPr>
          <w:p w:rsidR="00096E30" w:rsidRPr="009E08CB" w:rsidRDefault="00096E30">
            <w:pPr>
              <w:pStyle w:val="ConsPlusNormal"/>
            </w:pPr>
            <w:r w:rsidRPr="009E08CB">
              <w:t>Более 13000 руб. до 19100 руб.</w:t>
            </w:r>
          </w:p>
        </w:tc>
        <w:tc>
          <w:tcPr>
            <w:tcW w:w="2098" w:type="dxa"/>
          </w:tcPr>
          <w:p w:rsidR="00096E30" w:rsidRPr="009E08CB" w:rsidRDefault="00096E30">
            <w:pPr>
              <w:pStyle w:val="ConsPlusNormal"/>
              <w:jc w:val="center"/>
            </w:pPr>
            <w:r w:rsidRPr="009E08CB">
              <w:t>1</w:t>
            </w:r>
          </w:p>
        </w:tc>
      </w:tr>
      <w:tr w:rsidR="009E08CB" w:rsidRPr="009E08CB">
        <w:tc>
          <w:tcPr>
            <w:tcW w:w="6973" w:type="dxa"/>
          </w:tcPr>
          <w:p w:rsidR="00096E30" w:rsidRPr="009E08CB" w:rsidRDefault="00096E30">
            <w:pPr>
              <w:pStyle w:val="ConsPlusNormal"/>
            </w:pPr>
            <w:r w:rsidRPr="009E08CB">
              <w:t>Более 19100 руб.</w:t>
            </w:r>
          </w:p>
        </w:tc>
        <w:tc>
          <w:tcPr>
            <w:tcW w:w="2098" w:type="dxa"/>
          </w:tcPr>
          <w:p w:rsidR="00096E30" w:rsidRPr="009E08CB" w:rsidRDefault="00096E30">
            <w:pPr>
              <w:pStyle w:val="ConsPlusNormal"/>
              <w:jc w:val="center"/>
            </w:pPr>
            <w:r w:rsidRPr="009E08CB">
              <w:t>0.5</w:t>
            </w:r>
          </w:p>
        </w:tc>
      </w:tr>
    </w:tbl>
    <w:p w:rsidR="00096E30" w:rsidRPr="009E08CB" w:rsidRDefault="00096E30">
      <w:pPr>
        <w:pStyle w:val="ConsPlusNormal"/>
        <w:jc w:val="both"/>
      </w:pPr>
    </w:p>
    <w:p w:rsidR="00096E30" w:rsidRPr="009E08CB" w:rsidRDefault="00096E30">
      <w:pPr>
        <w:pStyle w:val="ConsPlusNormal"/>
        <w:ind w:firstLine="540"/>
        <w:jc w:val="both"/>
      </w:pPr>
      <w:r w:rsidRPr="009E08CB">
        <w:lastRenderedPageBreak/>
        <w:t>Сельские населенные пункты с численностью населения более 1000 человек:</w:t>
      </w:r>
    </w:p>
    <w:p w:rsidR="00096E30" w:rsidRPr="009E08CB" w:rsidRDefault="00096E30">
      <w:pPr>
        <w:pStyle w:val="ConsPlusNormal"/>
        <w:spacing w:before="220"/>
        <w:ind w:firstLine="540"/>
        <w:jc w:val="both"/>
      </w:pPr>
      <w:r w:rsidRPr="009E08CB">
        <w:t xml:space="preserve">- село </w:t>
      </w:r>
      <w:proofErr w:type="spellStart"/>
      <w:r w:rsidRPr="009E08CB">
        <w:t>Зубово</w:t>
      </w:r>
      <w:proofErr w:type="spellEnd"/>
      <w:r w:rsidRPr="009E08CB">
        <w:t xml:space="preserve"> (</w:t>
      </w:r>
      <w:proofErr w:type="spellStart"/>
      <w:r w:rsidRPr="009E08CB">
        <w:t>Шольского</w:t>
      </w:r>
      <w:proofErr w:type="spellEnd"/>
      <w:r w:rsidRPr="009E08CB">
        <w:t xml:space="preserve"> поселения).</w:t>
      </w:r>
    </w:p>
    <w:p w:rsidR="00096E30" w:rsidRPr="009E08CB" w:rsidRDefault="00096E30">
      <w:pPr>
        <w:pStyle w:val="ConsPlusNormal"/>
        <w:spacing w:before="220"/>
        <w:ind w:firstLine="540"/>
        <w:jc w:val="both"/>
      </w:pPr>
      <w:r w:rsidRPr="009E08CB">
        <w:t>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096E30" w:rsidRPr="009E08CB" w:rsidRDefault="00096E30">
      <w:pPr>
        <w:pStyle w:val="ConsPlusNormal"/>
        <w:spacing w:before="220"/>
        <w:ind w:firstLine="540"/>
        <w:jc w:val="both"/>
      </w:pPr>
      <w:r w:rsidRPr="009E08CB">
        <w:t>Среднемесячная заработная плата на одного работника определяется путем деления среднемесячного фонда оплаты труда на среднесписочную численность организации или индивидуального предпринимателя, являющегося работодателем.</w:t>
      </w:r>
    </w:p>
    <w:p w:rsidR="00096E30" w:rsidRPr="009E08CB" w:rsidRDefault="00096E30">
      <w:pPr>
        <w:pStyle w:val="ConsPlusNormal"/>
        <w:spacing w:before="220"/>
        <w:ind w:firstLine="540"/>
        <w:jc w:val="both"/>
      </w:pPr>
      <w:proofErr w:type="gramStart"/>
      <w:r w:rsidRPr="009E08CB">
        <w:t xml:space="preserve">Величина выплачиваемой среднемесячной заработной платы на одного работника должна соответствовать данным </w:t>
      </w:r>
      <w:hyperlink r:id="rId13" w:history="1">
        <w:r w:rsidRPr="009E08CB">
          <w:t>формы 4-ФСС</w:t>
        </w:r>
      </w:hyperlink>
      <w:r w:rsidRPr="009E08CB">
        <w:t xml:space="preserve"> РФ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соответствующий налоговый период.</w:t>
      </w:r>
      <w:proofErr w:type="gramEnd"/>
    </w:p>
    <w:p w:rsidR="00096E30" w:rsidRPr="009E08CB" w:rsidRDefault="00096E30">
      <w:pPr>
        <w:pStyle w:val="ConsPlusNormal"/>
        <w:spacing w:before="220"/>
        <w:ind w:firstLine="540"/>
        <w:jc w:val="both"/>
      </w:pPr>
      <w:r w:rsidRPr="009E08CB">
        <w:t>В случае постановки на учет организации или индивидуального предпринимателя, являющегося работодателем, не с начала года среднемесячная заработная плата определяется путем деления фонда оплаты труда на количество работников и на количество отработанных месяцев.</w:t>
      </w:r>
    </w:p>
    <w:p w:rsidR="00096E30" w:rsidRPr="009E08CB" w:rsidRDefault="00096E30">
      <w:pPr>
        <w:pStyle w:val="ConsPlusNormal"/>
        <w:spacing w:before="220"/>
        <w:ind w:firstLine="540"/>
        <w:jc w:val="both"/>
      </w:pPr>
      <w:r w:rsidRPr="009E08CB">
        <w:t xml:space="preserve">Для расчета среднесписочной численности используются данные, отраженные в </w:t>
      </w:r>
      <w:hyperlink r:id="rId14" w:history="1">
        <w:r w:rsidRPr="009E08CB">
          <w:t>форме N П-4</w:t>
        </w:r>
      </w:hyperlink>
      <w:r w:rsidRPr="009E08CB">
        <w:t xml:space="preserve"> "Сведения о численности, заработной плате и движении работников"</w:t>
      </w:r>
      <w:bookmarkStart w:id="0" w:name="_GoBack"/>
      <w:bookmarkEnd w:id="0"/>
      <w:r w:rsidRPr="009E08CB">
        <w:t>, утвержденной Росстатом.</w:t>
      </w:r>
    </w:p>
    <w:p w:rsidR="00096E30" w:rsidRPr="009E08CB" w:rsidRDefault="00096E30">
      <w:pPr>
        <w:pStyle w:val="ConsPlusNormal"/>
        <w:spacing w:before="220"/>
        <w:ind w:firstLine="540"/>
        <w:jc w:val="both"/>
      </w:pPr>
      <w:r w:rsidRPr="009E08CB">
        <w:t>--------------------------------</w:t>
      </w:r>
    </w:p>
    <w:p w:rsidR="00096E30" w:rsidRPr="009E08CB" w:rsidRDefault="00096E30">
      <w:pPr>
        <w:pStyle w:val="ConsPlusNormal"/>
        <w:spacing w:before="220"/>
        <w:ind w:firstLine="540"/>
        <w:jc w:val="both"/>
      </w:pPr>
      <w:r w:rsidRPr="009E08CB">
        <w:t>&lt;*&gt; Согласование маршрута с администрацией района</w:t>
      </w:r>
      <w:proofErr w:type="gramStart"/>
      <w:r w:rsidRPr="009E08CB">
        <w:t>.".</w:t>
      </w:r>
      <w:proofErr w:type="gramEnd"/>
    </w:p>
    <w:p w:rsidR="00096E30" w:rsidRPr="009E08CB" w:rsidRDefault="00096E30">
      <w:pPr>
        <w:pStyle w:val="ConsPlusNormal"/>
        <w:spacing w:before="220"/>
        <w:ind w:firstLine="540"/>
        <w:jc w:val="both"/>
      </w:pPr>
      <w:r w:rsidRPr="009E08CB">
        <w:t>2. Настоящее решение вступает в силу по истечении одного месяца со дня его официального опубликования в районной газете "</w:t>
      </w:r>
      <w:proofErr w:type="spellStart"/>
      <w:r w:rsidRPr="009E08CB">
        <w:t>Белозерье</w:t>
      </w:r>
      <w:proofErr w:type="spellEnd"/>
      <w:r w:rsidRPr="009E08CB">
        <w:t>", но не ранее 01.01.2017.</w:t>
      </w:r>
    </w:p>
    <w:p w:rsidR="00096E30" w:rsidRPr="009E08CB" w:rsidRDefault="00096E30">
      <w:pPr>
        <w:pStyle w:val="ConsPlusNormal"/>
        <w:jc w:val="both"/>
      </w:pPr>
    </w:p>
    <w:p w:rsidR="00096E30" w:rsidRPr="009E08CB" w:rsidRDefault="00096E30">
      <w:pPr>
        <w:pStyle w:val="ConsPlusNormal"/>
        <w:jc w:val="right"/>
        <w:rPr>
          <w:i/>
        </w:rPr>
      </w:pPr>
      <w:r w:rsidRPr="009E08CB">
        <w:rPr>
          <w:i/>
        </w:rPr>
        <w:t>Председатель</w:t>
      </w:r>
    </w:p>
    <w:p w:rsidR="00096E30" w:rsidRPr="009E08CB" w:rsidRDefault="00096E30">
      <w:pPr>
        <w:pStyle w:val="ConsPlusNormal"/>
        <w:jc w:val="right"/>
        <w:rPr>
          <w:i/>
        </w:rPr>
      </w:pPr>
      <w:r w:rsidRPr="009E08CB">
        <w:rPr>
          <w:i/>
        </w:rPr>
        <w:t>Представительного Собрания района</w:t>
      </w:r>
    </w:p>
    <w:p w:rsidR="00096E30" w:rsidRPr="009E08CB" w:rsidRDefault="00096E30">
      <w:pPr>
        <w:pStyle w:val="ConsPlusNormal"/>
        <w:jc w:val="right"/>
        <w:rPr>
          <w:i/>
        </w:rPr>
      </w:pPr>
      <w:r w:rsidRPr="009E08CB">
        <w:rPr>
          <w:i/>
        </w:rPr>
        <w:t>И.А.ГОЛУБЕВА</w:t>
      </w:r>
    </w:p>
    <w:p w:rsidR="00096E30" w:rsidRPr="009E08CB" w:rsidRDefault="00096E30">
      <w:pPr>
        <w:pStyle w:val="ConsPlusNormal"/>
        <w:jc w:val="both"/>
        <w:rPr>
          <w:i/>
        </w:rPr>
      </w:pPr>
    </w:p>
    <w:p w:rsidR="00096E30" w:rsidRPr="009E08CB" w:rsidRDefault="00096E30">
      <w:pPr>
        <w:pStyle w:val="ConsPlusNormal"/>
        <w:jc w:val="right"/>
        <w:rPr>
          <w:i/>
        </w:rPr>
      </w:pPr>
      <w:r w:rsidRPr="009E08CB">
        <w:rPr>
          <w:i/>
        </w:rPr>
        <w:t>Глава района</w:t>
      </w:r>
    </w:p>
    <w:p w:rsidR="00096E30" w:rsidRPr="009E08CB" w:rsidRDefault="00096E30">
      <w:pPr>
        <w:pStyle w:val="ConsPlusNormal"/>
        <w:jc w:val="right"/>
        <w:rPr>
          <w:i/>
        </w:rPr>
      </w:pPr>
      <w:r w:rsidRPr="009E08CB">
        <w:rPr>
          <w:i/>
        </w:rPr>
        <w:t>Е.В.ШАШКИН</w:t>
      </w:r>
    </w:p>
    <w:p w:rsidR="00096E30" w:rsidRPr="009E08CB" w:rsidRDefault="00096E30">
      <w:pPr>
        <w:pStyle w:val="ConsPlusNormal"/>
        <w:jc w:val="both"/>
      </w:pPr>
    </w:p>
    <w:p w:rsidR="00096E30" w:rsidRPr="009E08CB" w:rsidRDefault="00096E30">
      <w:pPr>
        <w:pStyle w:val="ConsPlusNormal"/>
        <w:jc w:val="both"/>
      </w:pPr>
    </w:p>
    <w:p w:rsidR="00096E30" w:rsidRPr="009E08CB" w:rsidRDefault="00096E30">
      <w:pPr>
        <w:pStyle w:val="ConsPlusNormal"/>
        <w:pBdr>
          <w:top w:val="single" w:sz="6" w:space="0" w:color="auto"/>
        </w:pBdr>
        <w:spacing w:before="100" w:after="100"/>
        <w:jc w:val="both"/>
        <w:rPr>
          <w:sz w:val="2"/>
          <w:szCs w:val="2"/>
        </w:rPr>
      </w:pPr>
    </w:p>
    <w:p w:rsidR="00F110F6" w:rsidRPr="009E08CB" w:rsidRDefault="00714A97"/>
    <w:sectPr w:rsidR="00F110F6" w:rsidRPr="009E08CB" w:rsidSect="00A84E5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E30"/>
    <w:rsid w:val="00096E30"/>
    <w:rsid w:val="00711A2E"/>
    <w:rsid w:val="00714A97"/>
    <w:rsid w:val="009E08CB"/>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E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6E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6E3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E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6E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6E3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7189D0F6C3BAA89DB286C8B1468C3AEE94D635B0AE8496AB0C6E415CD3C3F22FD30FC5795F3DC4AAF37889k0jCL" TargetMode="External"/><Relationship Id="rId13" Type="http://schemas.openxmlformats.org/officeDocument/2006/relationships/hyperlink" Target="consultantplus://offline/ref=087189D0F6C3BAA89DB298C5A72AD23EE99F8E38B1AC88C8F35968160383C5A76F9309903A1B30C4kAjCL" TargetMode="External"/><Relationship Id="rId3" Type="http://schemas.openxmlformats.org/officeDocument/2006/relationships/settings" Target="settings.xml"/><Relationship Id="rId7" Type="http://schemas.openxmlformats.org/officeDocument/2006/relationships/hyperlink" Target="consultantplus://offline/ref=087189D0F6C3BAA89DB286C8B1468C3AEE94D635B0AE8496AB0C6E415CD3C3F22FkDj3L" TargetMode="External"/><Relationship Id="rId12" Type="http://schemas.openxmlformats.org/officeDocument/2006/relationships/hyperlink" Target="consultantplus://offline/ref=087189D0F6C3BAA89DB286C8B1468C3AEE94D635B0AE8496AB0C6E415CD3C3F22FD30FC5795F3DkCj4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87189D0F6C3BAA89DB286C8B1468C3AEE94D635B0AC8B98AC096E415CD3C3F22FD30FC5795F3DC4AAF07F8Ek0j4L" TargetMode="External"/><Relationship Id="rId11" Type="http://schemas.openxmlformats.org/officeDocument/2006/relationships/hyperlink" Target="consultantplus://offline/ref=087189D0F6C3BAA89DB298C5A72AD23EEA9A803FB4AB88C8F359681603k8j3L" TargetMode="External"/><Relationship Id="rId5" Type="http://schemas.openxmlformats.org/officeDocument/2006/relationships/hyperlink" Target="consultantplus://offline/ref=087189D0F6C3BAA89DB298C5A72AD23EE99F8038B0AB88C8F35968160383C5A76F9309903A1837C7kAjFL" TargetMode="External"/><Relationship Id="rId15" Type="http://schemas.openxmlformats.org/officeDocument/2006/relationships/fontTable" Target="fontTable.xml"/><Relationship Id="rId10" Type="http://schemas.openxmlformats.org/officeDocument/2006/relationships/hyperlink" Target="consultantplus://offline/ref=087189D0F6C3BAA89DB286C8B1468C3AEE94D635B0AE8496AB0C6E415CD3C3F22FD30FC5795F3DC7kAj2L" TargetMode="External"/><Relationship Id="rId4" Type="http://schemas.openxmlformats.org/officeDocument/2006/relationships/webSettings" Target="webSettings.xml"/><Relationship Id="rId9" Type="http://schemas.openxmlformats.org/officeDocument/2006/relationships/hyperlink" Target="consultantplus://offline/ref=087189D0F6C3BAA89DB286C8B1468C3AEE94D635B0AE8496AB0C6E415CD3C3F22FD30FC5795F3DC4AAF37888k0jEL" TargetMode="External"/><Relationship Id="rId14" Type="http://schemas.openxmlformats.org/officeDocument/2006/relationships/hyperlink" Target="consultantplus://offline/ref=087189D0F6C3BAA89DB298C5A72AD23EE99F8B38B1AB88C8F35968160383C5A76F9309903A1F32C1kAj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Семенова Алёна Алексеевна</cp:lastModifiedBy>
  <cp:revision>3</cp:revision>
  <dcterms:created xsi:type="dcterms:W3CDTF">2018-04-11T11:35:00Z</dcterms:created>
  <dcterms:modified xsi:type="dcterms:W3CDTF">2018-04-11T11:41:00Z</dcterms:modified>
</cp:coreProperties>
</file>